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1C3" w:rsidRDefault="005761C3" w:rsidP="005761C3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 Narrow"/>
          <w:b/>
          <w:bCs/>
          <w:sz w:val="20"/>
          <w:szCs w:val="20"/>
        </w:rPr>
      </w:pPr>
      <w:r w:rsidRPr="005761C3">
        <w:rPr>
          <w:rFonts w:ascii="Verdana" w:hAnsi="Verdana" w:cs="Arial Narrow"/>
          <w:b/>
          <w:bCs/>
          <w:sz w:val="20"/>
          <w:szCs w:val="20"/>
        </w:rPr>
        <w:t>ZAŁĄCZNIK A</w:t>
      </w:r>
      <w:r>
        <w:rPr>
          <w:rFonts w:ascii="Verdana" w:hAnsi="Verdana" w:cs="Arial Narrow"/>
          <w:b/>
          <w:bCs/>
          <w:sz w:val="20"/>
          <w:szCs w:val="20"/>
        </w:rPr>
        <w:br/>
      </w:r>
      <w:r w:rsidRPr="005761C3">
        <w:rPr>
          <w:rFonts w:ascii="Verdana" w:hAnsi="Verdana" w:cs="Arial Narrow"/>
          <w:b/>
          <w:bCs/>
          <w:sz w:val="20"/>
          <w:szCs w:val="20"/>
        </w:rPr>
        <w:t>SZCZEGÓŁOWE WYMAGANIA TECHNICZNE DLA NOWYCH SYGNALIZATORÓW</w:t>
      </w:r>
    </w:p>
    <w:p w:rsidR="008C570C" w:rsidRPr="008C570C" w:rsidRDefault="008C570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 Narrow"/>
          <w:b/>
          <w:bCs/>
          <w:sz w:val="20"/>
          <w:szCs w:val="20"/>
        </w:rPr>
      </w:pPr>
    </w:p>
    <w:p w:rsidR="007C5153" w:rsidRPr="007C5153" w:rsidRDefault="007C5153" w:rsidP="007C5153">
      <w:pPr>
        <w:pStyle w:val="Akapitzlist"/>
        <w:ind w:left="360"/>
        <w:jc w:val="center"/>
        <w:rPr>
          <w:rFonts w:ascii="Verdana" w:hAnsi="Verdana"/>
          <w:b/>
          <w:color w:val="0070C0"/>
          <w:sz w:val="20"/>
          <w:szCs w:val="20"/>
        </w:rPr>
      </w:pPr>
      <w:bookmarkStart w:id="0" w:name="_GoBack"/>
      <w:bookmarkEnd w:id="0"/>
      <w:r w:rsidRPr="007C5153">
        <w:rPr>
          <w:rFonts w:ascii="Verdana" w:hAnsi="Verdana"/>
          <w:b/>
          <w:color w:val="0070C0"/>
          <w:sz w:val="20"/>
          <w:szCs w:val="20"/>
        </w:rPr>
        <w:t xml:space="preserve">„Poprawa warunków ruchu na drodze S3 w obrębie węzła </w:t>
      </w:r>
      <w:r w:rsidRPr="007C5153">
        <w:rPr>
          <w:rFonts w:ascii="Verdana" w:hAnsi="Verdana"/>
          <w:b/>
          <w:color w:val="0070C0"/>
          <w:sz w:val="20"/>
          <w:szCs w:val="20"/>
        </w:rPr>
        <w:br/>
        <w:t>Gorzów Wlkp. Południe z DK22 poprzez budowę sygnalizacji akomodacyjnej”</w:t>
      </w:r>
    </w:p>
    <w:p w:rsidR="005761C3" w:rsidRPr="005761C3" w:rsidRDefault="005761C3" w:rsidP="005761C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5761C3">
        <w:rPr>
          <w:rFonts w:ascii="Verdana" w:hAnsi="Verdana" w:cs="Arial Narrow"/>
          <w:b/>
          <w:bCs/>
          <w:iCs/>
          <w:caps/>
          <w:sz w:val="20"/>
          <w:szCs w:val="20"/>
        </w:rPr>
        <w:t xml:space="preserve">Wymagania dotyczące lamp sygnalizatorów </w:t>
      </w:r>
    </w:p>
    <w:p w:rsidR="005761C3" w:rsidRPr="005761C3" w:rsidRDefault="005761C3" w:rsidP="00D302DD">
      <w:pPr>
        <w:autoSpaceDE w:val="0"/>
        <w:autoSpaceDN w:val="0"/>
        <w:adjustRightInd w:val="0"/>
        <w:spacing w:after="0"/>
        <w:ind w:firstLine="357"/>
        <w:jc w:val="both"/>
        <w:rPr>
          <w:rFonts w:ascii="Verdana" w:hAnsi="Verdana" w:cs="Arial Narrow"/>
          <w:sz w:val="20"/>
          <w:szCs w:val="20"/>
        </w:rPr>
      </w:pPr>
      <w:r w:rsidRPr="005761C3">
        <w:rPr>
          <w:rFonts w:ascii="Verdana" w:hAnsi="Verdana" w:cs="Arial Narrow"/>
          <w:sz w:val="20"/>
          <w:szCs w:val="20"/>
        </w:rPr>
        <w:t xml:space="preserve">Należy dostarczyć lampy sygnalizacji świetlnej o następujących parametrach: 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426" w:hanging="426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5761C3">
        <w:rPr>
          <w:rFonts w:ascii="Verdana" w:hAnsi="Verdana"/>
          <w:sz w:val="20"/>
          <w:szCs w:val="20"/>
        </w:rPr>
        <w:t>komory</w:t>
      </w:r>
      <w:proofErr w:type="gramEnd"/>
      <w:r w:rsidRPr="005761C3">
        <w:rPr>
          <w:rFonts w:ascii="Verdana" w:hAnsi="Verdana"/>
          <w:sz w:val="20"/>
          <w:szCs w:val="20"/>
        </w:rPr>
        <w:t xml:space="preserve"> sygnałowe o źródle światła rozproszonym typu </w:t>
      </w:r>
      <w:proofErr w:type="spellStart"/>
      <w:r w:rsidRPr="005761C3">
        <w:rPr>
          <w:rFonts w:ascii="Verdana" w:hAnsi="Verdana"/>
          <w:sz w:val="20"/>
          <w:szCs w:val="20"/>
        </w:rPr>
        <w:t>LumiLED</w:t>
      </w:r>
      <w:proofErr w:type="spellEnd"/>
      <w:r w:rsidRPr="005761C3">
        <w:rPr>
          <w:rFonts w:ascii="Verdana" w:hAnsi="Verdana"/>
          <w:sz w:val="20"/>
          <w:szCs w:val="20"/>
        </w:rPr>
        <w:t xml:space="preserve"> o napięciu zasilania 42 V. W celu zapobieżenia oślepienia kierowców w ciągu nocy, sygnalizatory wyposażone w źródła światła LED mają posiadać funkcję zmiany światłości o 50 % poprzez obniżenie napięcia zasilania do zakresu 26-34 V. Funkcja tzw. ściemniania w nocy. Wymaganie to dotyczy zarówno sygnalizatorów o rozmiarze Ø 300 jak i Ø 200. 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426" w:hanging="426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5761C3">
        <w:rPr>
          <w:rFonts w:ascii="Verdana" w:hAnsi="Verdana"/>
          <w:sz w:val="20"/>
          <w:szCs w:val="20"/>
        </w:rPr>
        <w:t>komory</w:t>
      </w:r>
      <w:proofErr w:type="gramEnd"/>
      <w:r w:rsidRPr="005761C3">
        <w:rPr>
          <w:rFonts w:ascii="Verdana" w:hAnsi="Verdana"/>
          <w:sz w:val="20"/>
          <w:szCs w:val="20"/>
        </w:rPr>
        <w:t xml:space="preserve"> z sygnalizatorami pieszymi powinny być wyposażone w odpowiedni symbol naniesiony na soczewkę poprzez polakierowanie materiałem nieprzepuszczającym światła i odpornym na zmienne warunki atmosferyczne. Symbol powinien przedstawiać sylwetkę pieszego </w:t>
      </w:r>
      <w:r>
        <w:rPr>
          <w:rFonts w:ascii="Verdana" w:hAnsi="Verdana"/>
          <w:sz w:val="20"/>
          <w:szCs w:val="20"/>
        </w:rPr>
        <w:t xml:space="preserve">i </w:t>
      </w:r>
      <w:r w:rsidRPr="005761C3">
        <w:rPr>
          <w:rFonts w:ascii="Verdana" w:hAnsi="Verdana"/>
          <w:sz w:val="20"/>
          <w:szCs w:val="20"/>
        </w:rPr>
        <w:t>mus</w:t>
      </w:r>
      <w:r>
        <w:rPr>
          <w:rFonts w:ascii="Verdana" w:hAnsi="Verdana"/>
          <w:sz w:val="20"/>
          <w:szCs w:val="20"/>
        </w:rPr>
        <w:t>i</w:t>
      </w:r>
      <w:r w:rsidRPr="005761C3">
        <w:rPr>
          <w:rFonts w:ascii="Verdana" w:hAnsi="Verdana"/>
          <w:sz w:val="20"/>
          <w:szCs w:val="20"/>
        </w:rPr>
        <w:t xml:space="preserve"> być zgodn</w:t>
      </w:r>
      <w:r>
        <w:rPr>
          <w:rFonts w:ascii="Verdana" w:hAnsi="Verdana"/>
          <w:sz w:val="20"/>
          <w:szCs w:val="20"/>
        </w:rPr>
        <w:t>y</w:t>
      </w:r>
      <w:r w:rsidRPr="005761C3">
        <w:rPr>
          <w:rFonts w:ascii="Verdana" w:hAnsi="Verdana"/>
          <w:sz w:val="20"/>
          <w:szCs w:val="20"/>
        </w:rPr>
        <w:t xml:space="preserve"> z wymaganiami [1], 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426" w:hanging="426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5761C3">
        <w:rPr>
          <w:rFonts w:ascii="Verdana" w:hAnsi="Verdana"/>
          <w:sz w:val="20"/>
          <w:szCs w:val="20"/>
        </w:rPr>
        <w:t>dla</w:t>
      </w:r>
      <w:proofErr w:type="gramEnd"/>
      <w:r w:rsidRPr="005761C3">
        <w:rPr>
          <w:rFonts w:ascii="Verdana" w:hAnsi="Verdana"/>
          <w:sz w:val="20"/>
          <w:szCs w:val="20"/>
        </w:rPr>
        <w:t xml:space="preserve"> sygnalizatorów sygnałów ogólnych kołowych S-1 zastosować soczewki </w:t>
      </w:r>
      <w:r>
        <w:rPr>
          <w:rFonts w:ascii="Verdana" w:hAnsi="Verdana"/>
          <w:sz w:val="20"/>
          <w:szCs w:val="20"/>
        </w:rPr>
        <w:br/>
      </w:r>
      <w:r w:rsidRPr="005761C3">
        <w:rPr>
          <w:rFonts w:ascii="Verdana" w:hAnsi="Verdana"/>
          <w:sz w:val="20"/>
          <w:szCs w:val="20"/>
        </w:rPr>
        <w:t xml:space="preserve">o średnicy 300 mm, 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426" w:hanging="426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5761C3">
        <w:rPr>
          <w:rFonts w:ascii="Verdana" w:hAnsi="Verdana"/>
          <w:sz w:val="20"/>
          <w:szCs w:val="20"/>
        </w:rPr>
        <w:t>dla</w:t>
      </w:r>
      <w:proofErr w:type="gramEnd"/>
      <w:r w:rsidRPr="005761C3">
        <w:rPr>
          <w:rFonts w:ascii="Verdana" w:hAnsi="Verdana"/>
          <w:sz w:val="20"/>
          <w:szCs w:val="20"/>
        </w:rPr>
        <w:t xml:space="preserve"> sygnalizatorów nadających sygnały dla pieszych S-5 zastosować soczewki </w:t>
      </w:r>
      <w:r>
        <w:rPr>
          <w:rFonts w:ascii="Verdana" w:hAnsi="Verdana"/>
          <w:sz w:val="20"/>
          <w:szCs w:val="20"/>
        </w:rPr>
        <w:br/>
      </w:r>
      <w:r w:rsidRPr="005761C3">
        <w:rPr>
          <w:rFonts w:ascii="Verdana" w:hAnsi="Verdana"/>
          <w:sz w:val="20"/>
          <w:szCs w:val="20"/>
        </w:rPr>
        <w:t xml:space="preserve">o średnicy 200 mm, 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426" w:hanging="426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5761C3">
        <w:rPr>
          <w:rFonts w:ascii="Verdana" w:hAnsi="Verdana"/>
          <w:sz w:val="20"/>
          <w:szCs w:val="20"/>
        </w:rPr>
        <w:t>powierzchnia</w:t>
      </w:r>
      <w:proofErr w:type="gramEnd"/>
      <w:r w:rsidRPr="005761C3">
        <w:rPr>
          <w:rFonts w:ascii="Verdana" w:hAnsi="Verdana"/>
          <w:sz w:val="20"/>
          <w:szCs w:val="20"/>
        </w:rPr>
        <w:t xml:space="preserve"> czołowa oraz tylna obudowy komory sygnałowej powinna być barwy czarnej, 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426" w:hanging="426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5761C3">
        <w:rPr>
          <w:rFonts w:ascii="Verdana" w:hAnsi="Verdana"/>
          <w:sz w:val="20"/>
          <w:szCs w:val="20"/>
        </w:rPr>
        <w:t>obudowa</w:t>
      </w:r>
      <w:proofErr w:type="gramEnd"/>
      <w:r w:rsidRPr="005761C3">
        <w:rPr>
          <w:rFonts w:ascii="Verdana" w:hAnsi="Verdana"/>
          <w:sz w:val="20"/>
          <w:szCs w:val="20"/>
        </w:rPr>
        <w:t xml:space="preserve"> sygnalizatora powinna być wykonana z poliwęglanu, 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426" w:hanging="426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5761C3">
        <w:rPr>
          <w:rFonts w:ascii="Verdana" w:hAnsi="Verdana"/>
          <w:sz w:val="20"/>
          <w:szCs w:val="20"/>
        </w:rPr>
        <w:t>sygnalizator</w:t>
      </w:r>
      <w:proofErr w:type="gramEnd"/>
      <w:r w:rsidRPr="005761C3">
        <w:rPr>
          <w:rFonts w:ascii="Verdana" w:hAnsi="Verdana"/>
          <w:sz w:val="20"/>
          <w:szCs w:val="20"/>
        </w:rPr>
        <w:t xml:space="preserve"> powinien spełniać wymagania normy PN-EN 60068 w zakresie następujących badań środowiskowych: 60068-2-2 (suche gorąco), 60068-2-1 (zimno), 60086-2-14 (zmiany temperatur), 60068-2-30 (wilgotność), 60068-2-5 (odtworzenia nasłonecznienia występującego na powierzchni ziemi), 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426" w:hanging="426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5761C3">
        <w:rPr>
          <w:rFonts w:ascii="Verdana" w:hAnsi="Verdana"/>
          <w:sz w:val="20"/>
          <w:szCs w:val="20"/>
        </w:rPr>
        <w:t>elementami</w:t>
      </w:r>
      <w:proofErr w:type="gramEnd"/>
      <w:r w:rsidRPr="005761C3">
        <w:rPr>
          <w:rFonts w:ascii="Verdana" w:hAnsi="Verdana"/>
          <w:sz w:val="20"/>
          <w:szCs w:val="20"/>
        </w:rPr>
        <w:t xml:space="preserve"> świetlnymi w komorach są diody elektroluminescencyjne typu </w:t>
      </w:r>
      <w:proofErr w:type="spellStart"/>
      <w:r w:rsidRPr="005761C3">
        <w:rPr>
          <w:rFonts w:ascii="Verdana" w:hAnsi="Verdana"/>
          <w:sz w:val="20"/>
          <w:szCs w:val="20"/>
        </w:rPr>
        <w:t>LumiLED</w:t>
      </w:r>
      <w:proofErr w:type="spellEnd"/>
      <w:r w:rsidRPr="005761C3">
        <w:rPr>
          <w:rFonts w:ascii="Verdana" w:hAnsi="Verdana"/>
          <w:sz w:val="20"/>
          <w:szCs w:val="20"/>
        </w:rPr>
        <w:t xml:space="preserve"> umieszczone w taki sposób, aby zapewnić równomierne oświetlenie całej powierzchni soczewki, 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426" w:hanging="426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5761C3">
        <w:rPr>
          <w:rFonts w:ascii="Verdana" w:hAnsi="Verdana"/>
          <w:sz w:val="20"/>
          <w:szCs w:val="20"/>
        </w:rPr>
        <w:t>źródło</w:t>
      </w:r>
      <w:proofErr w:type="gramEnd"/>
      <w:r w:rsidRPr="005761C3">
        <w:rPr>
          <w:rFonts w:ascii="Verdana" w:hAnsi="Verdana"/>
          <w:sz w:val="20"/>
          <w:szCs w:val="20"/>
        </w:rPr>
        <w:t xml:space="preserve"> światła w pojedynczej komorze musi być traktowane jako uszkodzone, </w:t>
      </w:r>
      <w:r w:rsidR="00D302DD">
        <w:rPr>
          <w:rFonts w:ascii="Verdana" w:hAnsi="Verdana"/>
          <w:sz w:val="20"/>
          <w:szCs w:val="20"/>
        </w:rPr>
        <w:br/>
      </w:r>
      <w:r w:rsidRPr="005761C3">
        <w:rPr>
          <w:rFonts w:ascii="Verdana" w:hAnsi="Verdana"/>
          <w:sz w:val="20"/>
          <w:szCs w:val="20"/>
        </w:rPr>
        <w:t xml:space="preserve">w przypadku przepalenia się 25% diod, przy czym komora musi automatycznie </w:t>
      </w:r>
      <w:proofErr w:type="gramStart"/>
      <w:r w:rsidRPr="005761C3">
        <w:rPr>
          <w:rFonts w:ascii="Verdana" w:hAnsi="Verdana"/>
          <w:sz w:val="20"/>
          <w:szCs w:val="20"/>
        </w:rPr>
        <w:t>wygasić</w:t>
      </w:r>
      <w:proofErr w:type="gramEnd"/>
      <w:r w:rsidRPr="005761C3">
        <w:rPr>
          <w:rFonts w:ascii="Verdana" w:hAnsi="Verdana"/>
          <w:sz w:val="20"/>
          <w:szCs w:val="20"/>
        </w:rPr>
        <w:t xml:space="preserve"> pozostałe diody i znacznie zmniejszyć pobór prądu z zasilania, tak aby sterownik mógł wykryć awarię źródła światła LED, 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426" w:hanging="426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5761C3">
        <w:rPr>
          <w:rFonts w:ascii="Verdana" w:hAnsi="Verdana"/>
          <w:sz w:val="20"/>
          <w:szCs w:val="20"/>
        </w:rPr>
        <w:t>układy</w:t>
      </w:r>
      <w:proofErr w:type="gramEnd"/>
      <w:r w:rsidRPr="005761C3">
        <w:rPr>
          <w:rFonts w:ascii="Verdana" w:hAnsi="Verdana"/>
          <w:sz w:val="20"/>
          <w:szCs w:val="20"/>
        </w:rPr>
        <w:t xml:space="preserve"> elektroniczne tworzące rozproszone źródło światła powinny pracować bezawaryjnie w zakresie temperatur zewnętrznych od -25 do 40ºC, 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426" w:hanging="426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5761C3">
        <w:rPr>
          <w:rFonts w:ascii="Verdana" w:hAnsi="Verdana"/>
          <w:sz w:val="20"/>
          <w:szCs w:val="20"/>
        </w:rPr>
        <w:t>komory</w:t>
      </w:r>
      <w:proofErr w:type="gramEnd"/>
      <w:r w:rsidRPr="005761C3">
        <w:rPr>
          <w:rFonts w:ascii="Verdana" w:hAnsi="Verdana"/>
          <w:sz w:val="20"/>
          <w:szCs w:val="20"/>
        </w:rPr>
        <w:t xml:space="preserve"> sygnałowe powinny posiadać stopień ochrony przeciwporażeniowej co najmniej IP54, a źródła światła LED – IP65, </w:t>
      </w:r>
    </w:p>
    <w:p w:rsid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426" w:hanging="426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5761C3">
        <w:rPr>
          <w:rFonts w:ascii="Verdana" w:hAnsi="Verdana"/>
          <w:sz w:val="20"/>
          <w:szCs w:val="20"/>
        </w:rPr>
        <w:t>sygnalizatory</w:t>
      </w:r>
      <w:proofErr w:type="gramEnd"/>
      <w:r w:rsidRPr="005761C3">
        <w:rPr>
          <w:rFonts w:ascii="Verdana" w:hAnsi="Verdana"/>
          <w:sz w:val="20"/>
          <w:szCs w:val="20"/>
        </w:rPr>
        <w:t xml:space="preserve"> powinny odpowiadać co najmniej IV klasie współczynnika złudzenia sło</w:t>
      </w:r>
      <w:r>
        <w:rPr>
          <w:rFonts w:ascii="Verdana" w:hAnsi="Verdana"/>
          <w:sz w:val="20"/>
          <w:szCs w:val="20"/>
        </w:rPr>
        <w:t>necznego zgodnie z PN-EN 12368,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426" w:hanging="426"/>
        <w:jc w:val="both"/>
        <w:textAlignment w:val="baseline"/>
        <w:rPr>
          <w:rFonts w:ascii="Verdana" w:hAnsi="Verdana"/>
          <w:sz w:val="20"/>
          <w:szCs w:val="20"/>
        </w:rPr>
      </w:pPr>
      <w:r w:rsidRPr="005761C3">
        <w:rPr>
          <w:rFonts w:ascii="Verdana" w:hAnsi="Verdana"/>
          <w:sz w:val="20"/>
          <w:szCs w:val="20"/>
        </w:rPr>
        <w:t xml:space="preserve">Soczewki sygnalizatorów nie mogą być bezbarwne, światłość sygnalizatorów o średnicy soczewek 300 mm musi odpowiadać klasie B3/2, a sygnalizatorów o średnicy soczewek 200 mm – klasie B2/2 (wg normy PN-EN 12368), 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426" w:hanging="426"/>
        <w:jc w:val="both"/>
        <w:textAlignment w:val="baseline"/>
        <w:rPr>
          <w:rFonts w:ascii="Verdana" w:hAnsi="Verdana"/>
          <w:sz w:val="20"/>
          <w:szCs w:val="20"/>
        </w:rPr>
      </w:pPr>
      <w:r w:rsidRPr="005761C3">
        <w:rPr>
          <w:rFonts w:ascii="Verdana" w:hAnsi="Verdana"/>
          <w:sz w:val="20"/>
          <w:szCs w:val="20"/>
        </w:rPr>
        <w:t xml:space="preserve">jednorodność luminancji strumienia świetlnego, wyrażona stosunkiem najmniejszej do największej wartości luminancji </w:t>
      </w:r>
      <w:proofErr w:type="spellStart"/>
      <w:r w:rsidRPr="005761C3">
        <w:rPr>
          <w:rFonts w:ascii="Verdana" w:hAnsi="Verdana"/>
          <w:sz w:val="20"/>
          <w:szCs w:val="20"/>
        </w:rPr>
        <w:t>Imin</w:t>
      </w:r>
      <w:proofErr w:type="gramStart"/>
      <w:r w:rsidRPr="005761C3">
        <w:rPr>
          <w:rFonts w:ascii="Verdana" w:hAnsi="Verdana"/>
          <w:sz w:val="20"/>
          <w:szCs w:val="20"/>
        </w:rPr>
        <w:t>:Imax</w:t>
      </w:r>
      <w:proofErr w:type="spellEnd"/>
      <w:proofErr w:type="gramEnd"/>
      <w:r w:rsidRPr="005761C3">
        <w:rPr>
          <w:rFonts w:ascii="Verdana" w:hAnsi="Verdana"/>
          <w:sz w:val="20"/>
          <w:szCs w:val="20"/>
        </w:rPr>
        <w:t xml:space="preserve"> powinna być nie mniejsza, niż 1:10, 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426" w:hanging="426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5761C3">
        <w:rPr>
          <w:rFonts w:ascii="Verdana" w:hAnsi="Verdana"/>
          <w:sz w:val="20"/>
          <w:szCs w:val="20"/>
        </w:rPr>
        <w:t>komory</w:t>
      </w:r>
      <w:proofErr w:type="gramEnd"/>
      <w:r w:rsidRPr="005761C3">
        <w:rPr>
          <w:rFonts w:ascii="Verdana" w:hAnsi="Verdana"/>
          <w:sz w:val="20"/>
          <w:szCs w:val="20"/>
        </w:rPr>
        <w:t xml:space="preserve"> sygnałowe przeznaczone do nadawania sygnałów dla pieszych, powinny umożliwiać umieszczenie wewnątrz nich elementu akustycznego nadającego sygnał dźwiękowy to</w:t>
      </w:r>
      <w:r>
        <w:rPr>
          <w:rFonts w:ascii="Verdana" w:hAnsi="Verdana"/>
          <w:sz w:val="20"/>
          <w:szCs w:val="20"/>
        </w:rPr>
        <w:t>warzyszący sygnałowi zielonemu,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426" w:hanging="426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5761C3">
        <w:rPr>
          <w:rFonts w:ascii="Verdana" w:hAnsi="Verdana"/>
          <w:sz w:val="20"/>
          <w:szCs w:val="20"/>
        </w:rPr>
        <w:t>źródła</w:t>
      </w:r>
      <w:proofErr w:type="gramEnd"/>
      <w:r w:rsidRPr="005761C3">
        <w:rPr>
          <w:rFonts w:ascii="Verdana" w:hAnsi="Verdana"/>
          <w:sz w:val="20"/>
          <w:szCs w:val="20"/>
        </w:rPr>
        <w:t xml:space="preserve"> światła muszą</w:t>
      </w:r>
      <w:r>
        <w:rPr>
          <w:rFonts w:ascii="Verdana" w:hAnsi="Verdana"/>
          <w:sz w:val="20"/>
          <w:szCs w:val="20"/>
        </w:rPr>
        <w:t xml:space="preserve"> być objęte 5 letnią gwarancją,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426" w:hanging="426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d</w:t>
      </w:r>
      <w:r w:rsidRPr="005761C3">
        <w:rPr>
          <w:rFonts w:ascii="Verdana" w:hAnsi="Verdana"/>
          <w:sz w:val="20"/>
          <w:szCs w:val="20"/>
        </w:rPr>
        <w:t>ostawca</w:t>
      </w:r>
      <w:proofErr w:type="gramEnd"/>
      <w:r w:rsidRPr="005761C3">
        <w:rPr>
          <w:rFonts w:ascii="Verdana" w:hAnsi="Verdana"/>
          <w:sz w:val="20"/>
          <w:szCs w:val="20"/>
        </w:rPr>
        <w:t xml:space="preserve"> musi zapewnić pełną dostępność, ciągłość i kompatybilność sygnalizatorów drogowyc</w:t>
      </w:r>
      <w:r>
        <w:rPr>
          <w:rFonts w:ascii="Verdana" w:hAnsi="Verdana"/>
          <w:sz w:val="20"/>
          <w:szCs w:val="20"/>
        </w:rPr>
        <w:t>h w zakresie części zamiennych,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426" w:hanging="426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lastRenderedPageBreak/>
        <w:t>d</w:t>
      </w:r>
      <w:r w:rsidRPr="005761C3">
        <w:rPr>
          <w:rFonts w:ascii="Verdana" w:hAnsi="Verdana"/>
          <w:sz w:val="20"/>
          <w:szCs w:val="20"/>
        </w:rPr>
        <w:t>la</w:t>
      </w:r>
      <w:proofErr w:type="gramEnd"/>
      <w:r w:rsidRPr="005761C3">
        <w:rPr>
          <w:rFonts w:ascii="Verdana" w:hAnsi="Verdana"/>
          <w:sz w:val="20"/>
          <w:szCs w:val="20"/>
        </w:rPr>
        <w:t xml:space="preserve"> zapewnienia pełnej integralności i funkcjonalności sygnalizatorów wymaga się aby źródła światła i obudowy były produk</w:t>
      </w:r>
      <w:r>
        <w:rPr>
          <w:rFonts w:ascii="Verdana" w:hAnsi="Verdana"/>
          <w:sz w:val="20"/>
          <w:szCs w:val="20"/>
        </w:rPr>
        <w:t>owane przez jednego producenta,</w:t>
      </w:r>
    </w:p>
    <w:p w:rsidR="005761C3" w:rsidRPr="005761C3" w:rsidRDefault="005761C3" w:rsidP="005761C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5761C3">
        <w:rPr>
          <w:rFonts w:ascii="Verdana" w:hAnsi="Verdana" w:cs="Arial Narrow"/>
          <w:b/>
          <w:bCs/>
          <w:iCs/>
          <w:caps/>
          <w:sz w:val="20"/>
          <w:szCs w:val="20"/>
        </w:rPr>
        <w:t xml:space="preserve">Wymagania dotyczące mocowań </w:t>
      </w:r>
    </w:p>
    <w:p w:rsidR="001F7D57" w:rsidRDefault="005761C3" w:rsidP="00D302DD">
      <w:pPr>
        <w:autoSpaceDE w:val="0"/>
        <w:autoSpaceDN w:val="0"/>
        <w:adjustRightInd w:val="0"/>
        <w:spacing w:after="0"/>
        <w:ind w:firstLine="357"/>
        <w:jc w:val="both"/>
        <w:rPr>
          <w:rFonts w:ascii="Verdana" w:hAnsi="Verdana" w:cs="Arial Narrow"/>
          <w:sz w:val="20"/>
          <w:szCs w:val="20"/>
        </w:rPr>
      </w:pPr>
      <w:r w:rsidRPr="005761C3">
        <w:rPr>
          <w:rFonts w:ascii="Verdana" w:hAnsi="Verdana" w:cs="Arial Narrow"/>
          <w:sz w:val="20"/>
          <w:szCs w:val="20"/>
        </w:rPr>
        <w:t>Dla sygnalizatorów S-1</w:t>
      </w:r>
      <w:r>
        <w:rPr>
          <w:rFonts w:ascii="Verdana" w:hAnsi="Verdana" w:cs="Arial Narrow"/>
          <w:sz w:val="20"/>
          <w:szCs w:val="20"/>
        </w:rPr>
        <w:t xml:space="preserve"> </w:t>
      </w:r>
      <w:r w:rsidR="00D37F14">
        <w:rPr>
          <w:rFonts w:ascii="Verdana" w:hAnsi="Verdana" w:cs="Arial Narrow"/>
          <w:sz w:val="20"/>
          <w:szCs w:val="20"/>
        </w:rPr>
        <w:t>oraz S-5</w:t>
      </w:r>
      <w:r w:rsidRPr="005761C3">
        <w:rPr>
          <w:rFonts w:ascii="Verdana" w:hAnsi="Verdana" w:cs="Arial Narrow"/>
          <w:sz w:val="20"/>
          <w:szCs w:val="20"/>
        </w:rPr>
        <w:t xml:space="preserve"> zlokalizowanych na masztach należy zastosować aluminiowe lub z tworzyw sztucznych mocowania dwupunkto</w:t>
      </w:r>
      <w:r w:rsidR="001F7D57">
        <w:rPr>
          <w:rFonts w:ascii="Verdana" w:hAnsi="Verdana" w:cs="Arial Narrow"/>
          <w:sz w:val="20"/>
          <w:szCs w:val="20"/>
        </w:rPr>
        <w:t>we.</w:t>
      </w:r>
    </w:p>
    <w:p w:rsidR="00CE7032" w:rsidRPr="005761C3" w:rsidRDefault="005761C3" w:rsidP="00D302DD">
      <w:pPr>
        <w:autoSpaceDE w:val="0"/>
        <w:autoSpaceDN w:val="0"/>
        <w:adjustRightInd w:val="0"/>
        <w:spacing w:after="0"/>
        <w:ind w:firstLine="357"/>
        <w:jc w:val="both"/>
        <w:rPr>
          <w:rFonts w:ascii="Verdana" w:hAnsi="Verdana" w:cs="Arial Narrow"/>
          <w:sz w:val="20"/>
          <w:szCs w:val="20"/>
        </w:rPr>
      </w:pPr>
      <w:r w:rsidRPr="005761C3">
        <w:rPr>
          <w:rFonts w:ascii="Verdana" w:hAnsi="Verdana" w:cs="Arial Narrow"/>
          <w:sz w:val="20"/>
          <w:szCs w:val="20"/>
        </w:rPr>
        <w:t>Dla sygnalizatorów S-1</w:t>
      </w:r>
      <w:r w:rsidR="00D37F14">
        <w:rPr>
          <w:rFonts w:ascii="Verdana" w:hAnsi="Verdana" w:cs="Arial Narrow"/>
          <w:sz w:val="20"/>
          <w:szCs w:val="20"/>
        </w:rPr>
        <w:t xml:space="preserve"> </w:t>
      </w:r>
      <w:r w:rsidRPr="005761C3">
        <w:rPr>
          <w:rFonts w:ascii="Verdana" w:hAnsi="Verdana" w:cs="Arial Narrow"/>
          <w:sz w:val="20"/>
          <w:szCs w:val="20"/>
        </w:rPr>
        <w:t>umiejscowionych na ramionach słupów wysięgnikowych</w:t>
      </w:r>
      <w:r w:rsidR="00D37F14">
        <w:rPr>
          <w:rFonts w:ascii="Verdana" w:hAnsi="Verdana" w:cs="Arial Narrow"/>
          <w:sz w:val="20"/>
          <w:szCs w:val="20"/>
        </w:rPr>
        <w:t xml:space="preserve"> lub bramownicach </w:t>
      </w:r>
      <w:r w:rsidRPr="005761C3">
        <w:rPr>
          <w:rFonts w:ascii="Verdana" w:hAnsi="Verdana" w:cs="Arial Narrow"/>
          <w:sz w:val="20"/>
          <w:szCs w:val="20"/>
        </w:rPr>
        <w:t>należy zastosować mocowania wysięgnikowe uniwersalne – umożliwiające podwieszenie sygnalizatora wraz z ekranem kontrastowym na ramieniu o dowolnej średnicy.</w:t>
      </w:r>
    </w:p>
    <w:p w:rsidR="005761C3" w:rsidRPr="005761C3" w:rsidRDefault="005761C3" w:rsidP="005761C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5761C3">
        <w:rPr>
          <w:rFonts w:ascii="Verdana" w:hAnsi="Verdana" w:cs="Arial Narrow"/>
          <w:b/>
          <w:bCs/>
          <w:iCs/>
          <w:caps/>
          <w:sz w:val="20"/>
          <w:szCs w:val="20"/>
        </w:rPr>
        <w:t xml:space="preserve">Wymagania dotyczące ekranów kontrastowych </w:t>
      </w:r>
    </w:p>
    <w:p w:rsidR="005761C3" w:rsidRPr="005761C3" w:rsidRDefault="005761C3" w:rsidP="00D302DD">
      <w:pPr>
        <w:autoSpaceDE w:val="0"/>
        <w:autoSpaceDN w:val="0"/>
        <w:adjustRightInd w:val="0"/>
        <w:spacing w:after="0"/>
        <w:ind w:firstLine="357"/>
        <w:jc w:val="both"/>
        <w:rPr>
          <w:rFonts w:ascii="Verdana" w:hAnsi="Verdana" w:cs="Arial Narrow"/>
          <w:sz w:val="20"/>
          <w:szCs w:val="20"/>
        </w:rPr>
      </w:pPr>
      <w:r w:rsidRPr="005761C3">
        <w:rPr>
          <w:rFonts w:ascii="Verdana" w:hAnsi="Verdana" w:cs="Arial Narrow"/>
          <w:sz w:val="20"/>
          <w:szCs w:val="20"/>
        </w:rPr>
        <w:t xml:space="preserve">Należy zastosować przesłonę koloru czarnego z białym obrzeżem w kształcie prostokąta, mocowaną za sygnalizatorem. Ekrany należy przymocować do obudowy sygnalizatora. </w:t>
      </w:r>
    </w:p>
    <w:p w:rsidR="005761C3" w:rsidRPr="00D37F14" w:rsidRDefault="005761C3" w:rsidP="00D37F1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D37F14">
        <w:rPr>
          <w:rFonts w:ascii="Verdana" w:hAnsi="Verdana" w:cs="Arial Narrow"/>
          <w:b/>
          <w:bCs/>
          <w:iCs/>
          <w:caps/>
          <w:sz w:val="20"/>
          <w:szCs w:val="20"/>
        </w:rPr>
        <w:t xml:space="preserve">Przepisy związane: </w:t>
      </w:r>
    </w:p>
    <w:p w:rsidR="005761C3" w:rsidRPr="005761C3" w:rsidRDefault="005761C3" w:rsidP="009269F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sz w:val="20"/>
          <w:szCs w:val="20"/>
        </w:rPr>
      </w:pPr>
      <w:r w:rsidRPr="005761C3">
        <w:rPr>
          <w:rFonts w:ascii="Verdana" w:hAnsi="Verdana" w:cs="Arial Narrow"/>
          <w:sz w:val="20"/>
          <w:szCs w:val="20"/>
        </w:rPr>
        <w:t>Rozporządzenie Ministra Infrastruktury z dn. 3 lipca 2003 r. w sprawie szczegółowych warunków technicznych dla znaków i sygnałów drogowych oraz urządzeń bezpieczeństwa ruchu drogowego, a także warunków i</w:t>
      </w:r>
      <w:r w:rsidR="00475882">
        <w:rPr>
          <w:rFonts w:ascii="Verdana" w:hAnsi="Verdana" w:cs="Arial Narrow"/>
          <w:sz w:val="20"/>
          <w:szCs w:val="20"/>
        </w:rPr>
        <w:t>ch umieszczania na drogach (Dz.</w:t>
      </w:r>
      <w:r w:rsidRPr="005761C3">
        <w:rPr>
          <w:rFonts w:ascii="Verdana" w:hAnsi="Verdana" w:cs="Arial Narrow"/>
          <w:sz w:val="20"/>
          <w:szCs w:val="20"/>
        </w:rPr>
        <w:t xml:space="preserve">U. </w:t>
      </w:r>
      <w:r w:rsidR="00475882">
        <w:rPr>
          <w:rFonts w:ascii="Verdana" w:hAnsi="Verdana" w:cs="Arial Narrow"/>
          <w:sz w:val="20"/>
          <w:szCs w:val="20"/>
        </w:rPr>
        <w:t xml:space="preserve">2019 </w:t>
      </w:r>
      <w:proofErr w:type="gramStart"/>
      <w:r w:rsidR="00475882">
        <w:rPr>
          <w:rFonts w:ascii="Verdana" w:hAnsi="Verdana" w:cs="Arial Narrow"/>
          <w:sz w:val="20"/>
          <w:szCs w:val="20"/>
        </w:rPr>
        <w:t>poz</w:t>
      </w:r>
      <w:proofErr w:type="gramEnd"/>
      <w:r w:rsidR="00475882">
        <w:rPr>
          <w:rFonts w:ascii="Verdana" w:hAnsi="Verdana" w:cs="Arial Narrow"/>
          <w:sz w:val="20"/>
          <w:szCs w:val="20"/>
        </w:rPr>
        <w:t>. 2311</w:t>
      </w:r>
      <w:r w:rsidRPr="005761C3">
        <w:rPr>
          <w:rFonts w:ascii="Verdana" w:hAnsi="Verdana" w:cs="Arial Narrow"/>
          <w:sz w:val="20"/>
          <w:szCs w:val="20"/>
        </w:rPr>
        <w:t xml:space="preserve">) </w:t>
      </w:r>
    </w:p>
    <w:p w:rsidR="005761C3" w:rsidRPr="005761C3" w:rsidRDefault="005761C3" w:rsidP="009269F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sz w:val="20"/>
          <w:szCs w:val="20"/>
        </w:rPr>
      </w:pPr>
      <w:r w:rsidRPr="005761C3">
        <w:rPr>
          <w:rFonts w:ascii="Verdana" w:hAnsi="Verdana" w:cs="Arial Narrow"/>
          <w:sz w:val="20"/>
          <w:szCs w:val="20"/>
        </w:rPr>
        <w:t>PN-EN</w:t>
      </w:r>
      <w:proofErr w:type="gramStart"/>
      <w:r w:rsidRPr="005761C3">
        <w:rPr>
          <w:rFonts w:ascii="Verdana" w:hAnsi="Verdana" w:cs="Arial Narrow"/>
          <w:sz w:val="20"/>
          <w:szCs w:val="20"/>
        </w:rPr>
        <w:t xml:space="preserve"> 50293:2006 – Kompatybilność</w:t>
      </w:r>
      <w:proofErr w:type="gramEnd"/>
      <w:r w:rsidRPr="005761C3">
        <w:rPr>
          <w:rFonts w:ascii="Verdana" w:hAnsi="Verdana" w:cs="Arial Narrow"/>
          <w:sz w:val="20"/>
          <w:szCs w:val="20"/>
        </w:rPr>
        <w:t xml:space="preserve"> elektromagnetyczna – Systemy drogowej sygnalizacji świetlnej – Standardy dla produktów </w:t>
      </w:r>
    </w:p>
    <w:p w:rsidR="005761C3" w:rsidRPr="005761C3" w:rsidRDefault="005761C3" w:rsidP="009269F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sz w:val="20"/>
          <w:szCs w:val="20"/>
        </w:rPr>
      </w:pPr>
      <w:r w:rsidRPr="005761C3">
        <w:rPr>
          <w:rFonts w:ascii="Verdana" w:hAnsi="Verdana" w:cs="Arial Narrow"/>
          <w:sz w:val="20"/>
          <w:szCs w:val="20"/>
        </w:rPr>
        <w:t>PN-HD 638 S</w:t>
      </w:r>
      <w:proofErr w:type="gramStart"/>
      <w:r w:rsidRPr="005761C3">
        <w:rPr>
          <w:rFonts w:ascii="Verdana" w:hAnsi="Verdana" w:cs="Arial Narrow"/>
          <w:sz w:val="20"/>
          <w:szCs w:val="20"/>
        </w:rPr>
        <w:t>1:2006 – Systemy</w:t>
      </w:r>
      <w:proofErr w:type="gramEnd"/>
      <w:r w:rsidRPr="005761C3">
        <w:rPr>
          <w:rFonts w:ascii="Verdana" w:hAnsi="Verdana" w:cs="Arial Narrow"/>
          <w:sz w:val="20"/>
          <w:szCs w:val="20"/>
        </w:rPr>
        <w:t xml:space="preserve"> sygnalizacyjne ruchu drogowego </w:t>
      </w:r>
    </w:p>
    <w:p w:rsidR="005761C3" w:rsidRPr="005761C3" w:rsidRDefault="005761C3" w:rsidP="009269F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sz w:val="20"/>
          <w:szCs w:val="20"/>
        </w:rPr>
      </w:pPr>
      <w:r w:rsidRPr="005761C3">
        <w:rPr>
          <w:rFonts w:ascii="Verdana" w:hAnsi="Verdana" w:cs="Arial Narrow"/>
          <w:sz w:val="20"/>
          <w:szCs w:val="20"/>
        </w:rPr>
        <w:t>PN-EN</w:t>
      </w:r>
      <w:proofErr w:type="gramStart"/>
      <w:r w:rsidRPr="005761C3">
        <w:rPr>
          <w:rFonts w:ascii="Verdana" w:hAnsi="Verdana" w:cs="Arial Narrow"/>
          <w:sz w:val="20"/>
          <w:szCs w:val="20"/>
        </w:rPr>
        <w:t xml:space="preserve"> 12368:2006 – Urządzenia</w:t>
      </w:r>
      <w:proofErr w:type="gramEnd"/>
      <w:r w:rsidRPr="005761C3">
        <w:rPr>
          <w:rFonts w:ascii="Verdana" w:hAnsi="Verdana" w:cs="Arial Narrow"/>
          <w:sz w:val="20"/>
          <w:szCs w:val="20"/>
        </w:rPr>
        <w:t xml:space="preserve"> do sterowania ruchem drogowym - Sygnalizatory </w:t>
      </w:r>
    </w:p>
    <w:p w:rsidR="005761C3" w:rsidRPr="005761C3" w:rsidRDefault="005761C3" w:rsidP="009269F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sz w:val="20"/>
          <w:szCs w:val="20"/>
        </w:rPr>
      </w:pPr>
      <w:r w:rsidRPr="005761C3">
        <w:rPr>
          <w:rFonts w:ascii="Verdana" w:hAnsi="Verdana" w:cs="Arial Narrow"/>
          <w:sz w:val="20"/>
          <w:szCs w:val="20"/>
        </w:rPr>
        <w:t xml:space="preserve">PN-EN 60068 – Badania środowiskowe </w:t>
      </w:r>
    </w:p>
    <w:p w:rsidR="005761C3" w:rsidRPr="00D37F14" w:rsidRDefault="005761C3" w:rsidP="00D37F1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D37F14">
        <w:rPr>
          <w:rFonts w:ascii="Verdana" w:hAnsi="Verdana" w:cs="Arial Narrow"/>
          <w:b/>
          <w:bCs/>
          <w:iCs/>
          <w:caps/>
          <w:sz w:val="20"/>
          <w:szCs w:val="20"/>
        </w:rPr>
        <w:t xml:space="preserve">Wykonawca musi załączyć: </w:t>
      </w:r>
    </w:p>
    <w:p w:rsidR="005761C3" w:rsidRPr="005761C3" w:rsidRDefault="005761C3" w:rsidP="00D302D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Verdana" w:hAnsi="Verdana" w:cs="Arial Narrow"/>
          <w:sz w:val="20"/>
          <w:szCs w:val="20"/>
        </w:rPr>
      </w:pPr>
      <w:r w:rsidRPr="005761C3">
        <w:rPr>
          <w:rFonts w:ascii="Verdana" w:hAnsi="Verdana" w:cs="Arial Narrow"/>
          <w:sz w:val="20"/>
          <w:szCs w:val="20"/>
        </w:rPr>
        <w:t>Certyfikat zgodności CE wystawiony przez uprawnioną jednostkę badawczą, która pozytywnie zweryfikowała osiągnięte przez producenta wyniki badań oraz potwierdz</w:t>
      </w:r>
      <w:r w:rsidR="00DF7511">
        <w:rPr>
          <w:rFonts w:ascii="Verdana" w:hAnsi="Verdana" w:cs="Arial Narrow"/>
          <w:sz w:val="20"/>
          <w:szCs w:val="20"/>
        </w:rPr>
        <w:t>enie</w:t>
      </w:r>
      <w:r w:rsidRPr="005761C3">
        <w:rPr>
          <w:rFonts w:ascii="Verdana" w:hAnsi="Verdana" w:cs="Arial Narrow"/>
          <w:sz w:val="20"/>
          <w:szCs w:val="20"/>
        </w:rPr>
        <w:t xml:space="preserve"> ich utrzymanie na określonym przez w</w:t>
      </w:r>
      <w:r w:rsidR="00DF7511">
        <w:rPr>
          <w:rFonts w:ascii="Verdana" w:hAnsi="Verdana" w:cs="Arial Narrow"/>
          <w:sz w:val="20"/>
          <w:szCs w:val="20"/>
        </w:rPr>
        <w:t>/</w:t>
      </w:r>
      <w:r w:rsidRPr="005761C3">
        <w:rPr>
          <w:rFonts w:ascii="Verdana" w:hAnsi="Verdana" w:cs="Arial Narrow"/>
          <w:sz w:val="20"/>
          <w:szCs w:val="20"/>
        </w:rPr>
        <w:t xml:space="preserve">w normy poziomie, w zakresie: 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567" w:hanging="284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5761C3">
        <w:rPr>
          <w:rFonts w:ascii="Verdana" w:hAnsi="Verdana"/>
          <w:sz w:val="20"/>
          <w:szCs w:val="20"/>
        </w:rPr>
        <w:t>dystrybucji</w:t>
      </w:r>
      <w:proofErr w:type="gramEnd"/>
      <w:r w:rsidRPr="005761C3">
        <w:rPr>
          <w:rFonts w:ascii="Verdana" w:hAnsi="Verdana"/>
          <w:sz w:val="20"/>
          <w:szCs w:val="20"/>
        </w:rPr>
        <w:t xml:space="preserve"> natężenia świetlnego dla poszczególnych kolorów źródeł światła, 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567" w:hanging="284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5761C3">
        <w:rPr>
          <w:rFonts w:ascii="Verdana" w:hAnsi="Verdana"/>
          <w:sz w:val="20"/>
          <w:szCs w:val="20"/>
        </w:rPr>
        <w:t>jednorodności</w:t>
      </w:r>
      <w:proofErr w:type="gramEnd"/>
      <w:r w:rsidRPr="005761C3">
        <w:rPr>
          <w:rFonts w:ascii="Verdana" w:hAnsi="Verdana"/>
          <w:sz w:val="20"/>
          <w:szCs w:val="20"/>
        </w:rPr>
        <w:t xml:space="preserve"> luminancji na obszarze oświetlonym, 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567" w:hanging="284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5761C3">
        <w:rPr>
          <w:rFonts w:ascii="Verdana" w:hAnsi="Verdana"/>
          <w:sz w:val="20"/>
          <w:szCs w:val="20"/>
        </w:rPr>
        <w:t>klasy</w:t>
      </w:r>
      <w:proofErr w:type="gramEnd"/>
      <w:r w:rsidRPr="005761C3">
        <w:rPr>
          <w:rFonts w:ascii="Verdana" w:hAnsi="Verdana"/>
          <w:sz w:val="20"/>
          <w:szCs w:val="20"/>
        </w:rPr>
        <w:t xml:space="preserve"> światła fantomowego, 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567" w:hanging="284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5761C3">
        <w:rPr>
          <w:rFonts w:ascii="Verdana" w:hAnsi="Verdana"/>
          <w:sz w:val="20"/>
          <w:szCs w:val="20"/>
        </w:rPr>
        <w:t>współrzędnych</w:t>
      </w:r>
      <w:proofErr w:type="gramEnd"/>
      <w:r w:rsidRPr="005761C3">
        <w:rPr>
          <w:rFonts w:ascii="Verdana" w:hAnsi="Verdana"/>
          <w:sz w:val="20"/>
          <w:szCs w:val="20"/>
        </w:rPr>
        <w:t xml:space="preserve"> trójchromatycznych poszczególnych kolorów źródeł światła, </w:t>
      </w:r>
    </w:p>
    <w:p w:rsidR="005761C3" w:rsidRPr="005761C3" w:rsidRDefault="005761C3" w:rsidP="00D302D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567" w:hanging="284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5761C3">
        <w:rPr>
          <w:rFonts w:ascii="Verdana" w:hAnsi="Verdana"/>
          <w:sz w:val="20"/>
          <w:szCs w:val="20"/>
        </w:rPr>
        <w:t>posiadające</w:t>
      </w:r>
      <w:proofErr w:type="gramEnd"/>
      <w:r w:rsidRPr="005761C3">
        <w:rPr>
          <w:rFonts w:ascii="Verdana" w:hAnsi="Verdana"/>
          <w:sz w:val="20"/>
          <w:szCs w:val="20"/>
        </w:rPr>
        <w:t xml:space="preserve"> ostateczną ocenę badań w zakresie spełniania normy PN-EN 12368. </w:t>
      </w:r>
    </w:p>
    <w:p w:rsidR="005761C3" w:rsidRPr="00DF7511" w:rsidRDefault="005761C3" w:rsidP="00D302D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Verdana" w:hAnsi="Verdana" w:cs="Arial Narrow"/>
          <w:sz w:val="20"/>
          <w:szCs w:val="20"/>
        </w:rPr>
      </w:pPr>
      <w:r w:rsidRPr="00DF7511">
        <w:rPr>
          <w:rFonts w:ascii="Verdana" w:hAnsi="Verdana" w:cs="Arial Narrow"/>
          <w:sz w:val="20"/>
          <w:szCs w:val="20"/>
        </w:rPr>
        <w:t>W trakcie realizacji, deklaracj</w:t>
      </w:r>
      <w:r w:rsidR="00DF7511" w:rsidRPr="00DF7511">
        <w:rPr>
          <w:rFonts w:ascii="Verdana" w:hAnsi="Verdana" w:cs="Arial Narrow"/>
          <w:sz w:val="20"/>
          <w:szCs w:val="20"/>
        </w:rPr>
        <w:t>ę</w:t>
      </w:r>
      <w:r w:rsidRPr="00DF7511">
        <w:rPr>
          <w:rFonts w:ascii="Verdana" w:hAnsi="Verdana" w:cs="Arial Narrow"/>
          <w:sz w:val="20"/>
          <w:szCs w:val="20"/>
        </w:rPr>
        <w:t xml:space="preserve"> zgodności producenta CE /dostawcy lamp sygnalizacji świetlnej w ramach normy PN-EN 12368 i norm skojarzonyc</w:t>
      </w:r>
      <w:r w:rsidR="00DF7511" w:rsidRPr="00DF7511">
        <w:rPr>
          <w:rFonts w:ascii="Verdana" w:hAnsi="Verdana" w:cs="Arial Narrow"/>
          <w:sz w:val="20"/>
          <w:szCs w:val="20"/>
        </w:rPr>
        <w:t>h oraz EMC.</w:t>
      </w:r>
    </w:p>
    <w:p w:rsidR="00DF7511" w:rsidRDefault="00DF7511" w:rsidP="00DF7511">
      <w:p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sz w:val="20"/>
          <w:szCs w:val="20"/>
        </w:rPr>
      </w:pPr>
    </w:p>
    <w:p w:rsidR="00DF7511" w:rsidRPr="00D302DD" w:rsidRDefault="00DF7511" w:rsidP="00D302DD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Verdana" w:hAnsi="Verdana" w:cs="Arial Narrow"/>
          <w:sz w:val="16"/>
          <w:szCs w:val="20"/>
        </w:rPr>
      </w:pPr>
      <w:r w:rsidRPr="00D302DD">
        <w:rPr>
          <w:rFonts w:ascii="Verdana" w:hAnsi="Verdana" w:cs="Arial Narrow"/>
          <w:sz w:val="16"/>
          <w:szCs w:val="20"/>
        </w:rPr>
        <w:t xml:space="preserve">Ilekroć w </w:t>
      </w:r>
      <w:r w:rsidR="00D302DD" w:rsidRPr="00D302DD">
        <w:rPr>
          <w:rFonts w:ascii="Verdana" w:hAnsi="Verdana" w:cs="Arial Narrow"/>
          <w:sz w:val="16"/>
          <w:szCs w:val="20"/>
        </w:rPr>
        <w:t xml:space="preserve">wymaganiach </w:t>
      </w:r>
      <w:r w:rsidRPr="00D302DD">
        <w:rPr>
          <w:rFonts w:ascii="Verdana" w:hAnsi="Verdana" w:cs="Arial Narrow"/>
          <w:sz w:val="16"/>
          <w:szCs w:val="20"/>
        </w:rPr>
        <w:t>wskazano znaki towarowe, patenty lub pochodzenia, a także normy – oznacza to, iż Zamawiający nie mógł opisać przedmiotu zamówienia za pomocą dostatecznie dokładnych określeń i dopuszcza rozwiązanie równoważne tj. wskazanemu zapisowi towarzyszy wyrażenie „lub równoważne”. Wskazanie znaku towarowego, pochodzenia lub patentu jest jedynie przykładowe i służy określeniu minimalnych parametrów jakościowych i cech użytkowych, jakim muszą odpowiadać materiały, produkty, urządzenia aby spełniać wymagania stawiane przez Zamawiającego. Za rozwiązania równoważne Zamawiający uzna takie rozwiązanie, które pod względem technologii, wydajności i funkcjonalności przez to rozwiązanie oferowanych, nie odbiega znacząco od technologii funkcjonalności i wydajności wyszczególnionych w rozwiązaniu wyspecyfikowanym, przy czym nie podlegają porównaniu cechy rozwiązania właściwe wyłącznie dla rozwiązania wyspecyfikowanego, takie jak: zastrzeżone patenty, własnościowe rozwiązania technologiczne, własnościowe protokoły itp., a jedynie te, które stanowią o istocie całości zakładanych rozwiązań technologicznych i posiadają odniesienie w rozwiązaniu równoważnym. Za rozwiązanie równoważne nie można uznać rozwiązania identycznego (tożsamego), a jedynie takie, które w porównywanych cechach wykazuje dokładnie tą samą lub bardzo zbliżoną wartość użytkową. Przez bardzo zbliżoną wartość użytkową rozumie się podobne, z dopuszczeniem nieznacznych różnic niewpływających w żadnym stopniu na całokształt rozwiązania, zachowanie oraz realizowanie podobnych funkcjonalności w danych warunkach, identycznych dla obu rozwiązań, dla których to warunków rozwiązania te są dedykowane.</w:t>
      </w:r>
    </w:p>
    <w:sectPr w:rsidR="00DF7511" w:rsidRPr="00D302DD" w:rsidSect="00FC4602">
      <w:footerReference w:type="default" r:id="rId7"/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9FC" w:rsidRDefault="00E149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E149FC" w:rsidRDefault="00E149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032" w:rsidRPr="00FC4602" w:rsidRDefault="00CE7032" w:rsidP="00FC4602">
    <w:pPr>
      <w:pStyle w:val="Stopka"/>
      <w:jc w:val="right"/>
      <w:rPr>
        <w:rFonts w:ascii="Arial Narrow" w:hAnsi="Arial Narrow" w:cs="Arial Narrow"/>
      </w:rPr>
    </w:pPr>
    <w:r>
      <w:rPr>
        <w:rFonts w:ascii="Arial Narrow" w:hAnsi="Arial Narrow" w:cs="Arial Narrow"/>
      </w:rPr>
      <w:t xml:space="preserve">Strona </w:t>
    </w:r>
    <w:r>
      <w:rPr>
        <w:rFonts w:ascii="Arial Narrow" w:hAnsi="Arial Narrow" w:cs="Arial Narrow"/>
        <w:b/>
        <w:bCs/>
      </w:rPr>
      <w:fldChar w:fldCharType="begin"/>
    </w:r>
    <w:r>
      <w:rPr>
        <w:rFonts w:ascii="Arial Narrow" w:hAnsi="Arial Narrow" w:cs="Arial Narrow"/>
        <w:b/>
        <w:bCs/>
      </w:rPr>
      <w:instrText>PAGE</w:instrText>
    </w:r>
    <w:r>
      <w:rPr>
        <w:rFonts w:ascii="Arial Narrow" w:hAnsi="Arial Narrow" w:cs="Arial Narrow"/>
        <w:b/>
        <w:bCs/>
      </w:rPr>
      <w:fldChar w:fldCharType="separate"/>
    </w:r>
    <w:r w:rsidR="007C5153">
      <w:rPr>
        <w:rFonts w:ascii="Arial Narrow" w:hAnsi="Arial Narrow" w:cs="Arial Narrow"/>
        <w:b/>
        <w:bCs/>
        <w:noProof/>
      </w:rPr>
      <w:t>1</w:t>
    </w:r>
    <w:r>
      <w:rPr>
        <w:rFonts w:ascii="Arial Narrow" w:hAnsi="Arial Narrow" w:cs="Arial Narrow"/>
        <w:b/>
        <w:bCs/>
      </w:rPr>
      <w:fldChar w:fldCharType="end"/>
    </w:r>
    <w:r>
      <w:rPr>
        <w:rFonts w:ascii="Arial Narrow" w:hAnsi="Arial Narrow" w:cs="Arial Narrow"/>
      </w:rPr>
      <w:t xml:space="preserve"> z </w:t>
    </w:r>
    <w:r>
      <w:rPr>
        <w:rFonts w:ascii="Arial Narrow" w:hAnsi="Arial Narrow" w:cs="Arial Narrow"/>
        <w:b/>
        <w:bCs/>
      </w:rPr>
      <w:fldChar w:fldCharType="begin"/>
    </w:r>
    <w:r>
      <w:rPr>
        <w:rFonts w:ascii="Arial Narrow" w:hAnsi="Arial Narrow" w:cs="Arial Narrow"/>
        <w:b/>
        <w:bCs/>
      </w:rPr>
      <w:instrText>NUMPAGES</w:instrText>
    </w:r>
    <w:r>
      <w:rPr>
        <w:rFonts w:ascii="Arial Narrow" w:hAnsi="Arial Narrow" w:cs="Arial Narrow"/>
        <w:b/>
        <w:bCs/>
      </w:rPr>
      <w:fldChar w:fldCharType="separate"/>
    </w:r>
    <w:r w:rsidR="007C5153">
      <w:rPr>
        <w:rFonts w:ascii="Arial Narrow" w:hAnsi="Arial Narrow" w:cs="Arial Narrow"/>
        <w:b/>
        <w:bCs/>
        <w:noProof/>
      </w:rPr>
      <w:t>2</w:t>
    </w:r>
    <w:r>
      <w:rPr>
        <w:rFonts w:ascii="Arial Narrow" w:hAnsi="Arial Narrow" w:cs="Arial Narrow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9FC" w:rsidRDefault="00E149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E149FC" w:rsidRDefault="00E149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FA9F"/>
    <w:multiLevelType w:val="hybridMultilevel"/>
    <w:tmpl w:val="5EC5F2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534E5E"/>
    <w:multiLevelType w:val="hybridMultilevel"/>
    <w:tmpl w:val="77DCC520"/>
    <w:lvl w:ilvl="0" w:tplc="F8406C48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C30BA"/>
    <w:multiLevelType w:val="hybridMultilevel"/>
    <w:tmpl w:val="188058CA"/>
    <w:lvl w:ilvl="0" w:tplc="1480B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F8295B"/>
    <w:multiLevelType w:val="hybridMultilevel"/>
    <w:tmpl w:val="87ECE106"/>
    <w:lvl w:ilvl="0" w:tplc="B792FA2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CA66F9"/>
    <w:multiLevelType w:val="hybridMultilevel"/>
    <w:tmpl w:val="76564DAC"/>
    <w:lvl w:ilvl="0" w:tplc="70783C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00004D"/>
    <w:multiLevelType w:val="hybridMultilevel"/>
    <w:tmpl w:val="EBE8E8F0"/>
    <w:lvl w:ilvl="0" w:tplc="7BE80B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9E333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2938D3"/>
    <w:multiLevelType w:val="hybridMultilevel"/>
    <w:tmpl w:val="87C4CFD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4C24F95"/>
    <w:multiLevelType w:val="hybridMultilevel"/>
    <w:tmpl w:val="760290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254A4439"/>
    <w:multiLevelType w:val="hybridMultilevel"/>
    <w:tmpl w:val="B986DD10"/>
    <w:lvl w:ilvl="0" w:tplc="AAFAD74A">
      <w:start w:val="65"/>
      <w:numFmt w:val="bullet"/>
      <w:lvlText w:val="-"/>
      <w:lvlJc w:val="left"/>
      <w:pPr>
        <w:tabs>
          <w:tab w:val="num" w:pos="5000"/>
        </w:tabs>
        <w:ind w:left="50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1764935"/>
    <w:multiLevelType w:val="multilevel"/>
    <w:tmpl w:val="BE0EB1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11" w15:restartNumberingAfterBreak="0">
    <w:nsid w:val="31BF3476"/>
    <w:multiLevelType w:val="hybridMultilevel"/>
    <w:tmpl w:val="E3282FB6"/>
    <w:lvl w:ilvl="0" w:tplc="7A36C58A">
      <w:start w:val="1"/>
      <w:numFmt w:val="decimal"/>
      <w:lvlText w:val="[%1]"/>
      <w:lvlJc w:val="left"/>
      <w:pPr>
        <w:ind w:left="957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607691A"/>
    <w:multiLevelType w:val="multilevel"/>
    <w:tmpl w:val="669035F8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i w:val="0"/>
        <w:sz w:val="20"/>
        <w:szCs w:val="20"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39967E7B"/>
    <w:multiLevelType w:val="hybridMultilevel"/>
    <w:tmpl w:val="13AAE080"/>
    <w:lvl w:ilvl="0" w:tplc="365248DE">
      <w:start w:val="1"/>
      <w:numFmt w:val="decimal"/>
      <w:lvlText w:val="%1."/>
      <w:lvlJc w:val="left"/>
      <w:pPr>
        <w:ind w:left="152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B03282F"/>
    <w:multiLevelType w:val="hybridMultilevel"/>
    <w:tmpl w:val="7A300230"/>
    <w:lvl w:ilvl="0" w:tplc="B792FA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70399"/>
    <w:multiLevelType w:val="hybridMultilevel"/>
    <w:tmpl w:val="770A5A3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E8D167C"/>
    <w:multiLevelType w:val="hybridMultilevel"/>
    <w:tmpl w:val="812291F8"/>
    <w:lvl w:ilvl="0" w:tplc="7E9EE6E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60DD42F5"/>
    <w:multiLevelType w:val="hybridMultilevel"/>
    <w:tmpl w:val="5720C8FA"/>
    <w:lvl w:ilvl="0" w:tplc="0B24E45C">
      <w:start w:val="1"/>
      <w:numFmt w:val="lowerLetter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62494C70"/>
    <w:multiLevelType w:val="hybridMultilevel"/>
    <w:tmpl w:val="783AB82C"/>
    <w:lvl w:ilvl="0" w:tplc="F8406C48">
      <w:numFmt w:val="bullet"/>
      <w:lvlText w:val=""/>
      <w:lvlJc w:val="left"/>
      <w:pPr>
        <w:ind w:left="1077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67B25CF8"/>
    <w:multiLevelType w:val="multilevel"/>
    <w:tmpl w:val="BE0EB1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20" w15:restartNumberingAfterBreak="0">
    <w:nsid w:val="765F7DD7"/>
    <w:multiLevelType w:val="hybridMultilevel"/>
    <w:tmpl w:val="68201052"/>
    <w:lvl w:ilvl="0" w:tplc="890E72CA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bCs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77EF62B5"/>
    <w:multiLevelType w:val="hybridMultilevel"/>
    <w:tmpl w:val="0CD2523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7F830E9F"/>
    <w:multiLevelType w:val="hybridMultilevel"/>
    <w:tmpl w:val="E1C4C5D2"/>
    <w:lvl w:ilvl="0" w:tplc="30E2D3B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7FE4192F"/>
    <w:multiLevelType w:val="hybridMultilevel"/>
    <w:tmpl w:val="B066D0C0"/>
    <w:lvl w:ilvl="0" w:tplc="28D6E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8"/>
  </w:num>
  <w:num w:numId="4">
    <w:abstractNumId w:val="20"/>
  </w:num>
  <w:num w:numId="5">
    <w:abstractNumId w:val="17"/>
  </w:num>
  <w:num w:numId="6">
    <w:abstractNumId w:val="16"/>
  </w:num>
  <w:num w:numId="7">
    <w:abstractNumId w:val="3"/>
  </w:num>
  <w:num w:numId="8">
    <w:abstractNumId w:val="14"/>
  </w:num>
  <w:num w:numId="9">
    <w:abstractNumId w:val="4"/>
  </w:num>
  <w:num w:numId="10">
    <w:abstractNumId w:val="9"/>
  </w:num>
  <w:num w:numId="11">
    <w:abstractNumId w:val="19"/>
  </w:num>
  <w:num w:numId="12">
    <w:abstractNumId w:val="2"/>
  </w:num>
  <w:num w:numId="13">
    <w:abstractNumId w:val="12"/>
  </w:num>
  <w:num w:numId="14">
    <w:abstractNumId w:val="1"/>
  </w:num>
  <w:num w:numId="15">
    <w:abstractNumId w:val="10"/>
  </w:num>
  <w:num w:numId="16">
    <w:abstractNumId w:val="21"/>
  </w:num>
  <w:num w:numId="17">
    <w:abstractNumId w:val="18"/>
  </w:num>
  <w:num w:numId="18">
    <w:abstractNumId w:val="23"/>
  </w:num>
  <w:num w:numId="19">
    <w:abstractNumId w:val="15"/>
  </w:num>
  <w:num w:numId="20">
    <w:abstractNumId w:val="0"/>
  </w:num>
  <w:num w:numId="21">
    <w:abstractNumId w:val="7"/>
  </w:num>
  <w:num w:numId="22">
    <w:abstractNumId w:val="11"/>
  </w:num>
  <w:num w:numId="23">
    <w:abstractNumId w:val="1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623"/>
    <w:rsid w:val="000259AD"/>
    <w:rsid w:val="00033874"/>
    <w:rsid w:val="0003638D"/>
    <w:rsid w:val="000504F8"/>
    <w:rsid w:val="00052BAD"/>
    <w:rsid w:val="000653AD"/>
    <w:rsid w:val="00065B20"/>
    <w:rsid w:val="00086ACC"/>
    <w:rsid w:val="000901F1"/>
    <w:rsid w:val="00090DB0"/>
    <w:rsid w:val="000948EC"/>
    <w:rsid w:val="000A757C"/>
    <w:rsid w:val="000C111F"/>
    <w:rsid w:val="000D6DAA"/>
    <w:rsid w:val="000E204B"/>
    <w:rsid w:val="00117600"/>
    <w:rsid w:val="00132139"/>
    <w:rsid w:val="00155A19"/>
    <w:rsid w:val="001715E6"/>
    <w:rsid w:val="001A7CC5"/>
    <w:rsid w:val="001C1641"/>
    <w:rsid w:val="001D46A7"/>
    <w:rsid w:val="001E7B23"/>
    <w:rsid w:val="001F4901"/>
    <w:rsid w:val="001F6549"/>
    <w:rsid w:val="001F7D57"/>
    <w:rsid w:val="00222993"/>
    <w:rsid w:val="00223DD3"/>
    <w:rsid w:val="00252CD4"/>
    <w:rsid w:val="00254BE8"/>
    <w:rsid w:val="0029586F"/>
    <w:rsid w:val="002A6868"/>
    <w:rsid w:val="002D25F3"/>
    <w:rsid w:val="002E010B"/>
    <w:rsid w:val="002E78CC"/>
    <w:rsid w:val="002F1F13"/>
    <w:rsid w:val="00310130"/>
    <w:rsid w:val="00326514"/>
    <w:rsid w:val="00383884"/>
    <w:rsid w:val="00391B42"/>
    <w:rsid w:val="00397CF1"/>
    <w:rsid w:val="003A26BD"/>
    <w:rsid w:val="003A29C0"/>
    <w:rsid w:val="003D3767"/>
    <w:rsid w:val="003D5650"/>
    <w:rsid w:val="003F408F"/>
    <w:rsid w:val="00410DB7"/>
    <w:rsid w:val="004477EF"/>
    <w:rsid w:val="004623F5"/>
    <w:rsid w:val="00475882"/>
    <w:rsid w:val="00487D06"/>
    <w:rsid w:val="004A3D1D"/>
    <w:rsid w:val="004A4B42"/>
    <w:rsid w:val="004D496E"/>
    <w:rsid w:val="004E189B"/>
    <w:rsid w:val="005110B1"/>
    <w:rsid w:val="00515667"/>
    <w:rsid w:val="005246B6"/>
    <w:rsid w:val="00534B38"/>
    <w:rsid w:val="0057200A"/>
    <w:rsid w:val="005761C3"/>
    <w:rsid w:val="005806B9"/>
    <w:rsid w:val="005A382E"/>
    <w:rsid w:val="005D4B47"/>
    <w:rsid w:val="005E12EE"/>
    <w:rsid w:val="005E231E"/>
    <w:rsid w:val="00607AB9"/>
    <w:rsid w:val="00617952"/>
    <w:rsid w:val="00653D7B"/>
    <w:rsid w:val="00665A2A"/>
    <w:rsid w:val="006A7FA8"/>
    <w:rsid w:val="006C70F9"/>
    <w:rsid w:val="006D0581"/>
    <w:rsid w:val="006F09D2"/>
    <w:rsid w:val="007039FA"/>
    <w:rsid w:val="00726C82"/>
    <w:rsid w:val="00763669"/>
    <w:rsid w:val="007731A7"/>
    <w:rsid w:val="00781EBD"/>
    <w:rsid w:val="007C4274"/>
    <w:rsid w:val="007C5153"/>
    <w:rsid w:val="007D524C"/>
    <w:rsid w:val="007F48DC"/>
    <w:rsid w:val="00830C04"/>
    <w:rsid w:val="00885FCE"/>
    <w:rsid w:val="008A14FE"/>
    <w:rsid w:val="008A47DE"/>
    <w:rsid w:val="008C570C"/>
    <w:rsid w:val="008D1CC6"/>
    <w:rsid w:val="008F6DCC"/>
    <w:rsid w:val="00912F4C"/>
    <w:rsid w:val="009269FE"/>
    <w:rsid w:val="009878CA"/>
    <w:rsid w:val="009B0EA8"/>
    <w:rsid w:val="009F6623"/>
    <w:rsid w:val="00A01241"/>
    <w:rsid w:val="00A015D8"/>
    <w:rsid w:val="00A10758"/>
    <w:rsid w:val="00A32CE8"/>
    <w:rsid w:val="00A35D54"/>
    <w:rsid w:val="00A462EF"/>
    <w:rsid w:val="00A700C5"/>
    <w:rsid w:val="00A87BEB"/>
    <w:rsid w:val="00AB5241"/>
    <w:rsid w:val="00AC7E8C"/>
    <w:rsid w:val="00AD20C5"/>
    <w:rsid w:val="00AE73EE"/>
    <w:rsid w:val="00AF7C97"/>
    <w:rsid w:val="00B06102"/>
    <w:rsid w:val="00B1502E"/>
    <w:rsid w:val="00B171B9"/>
    <w:rsid w:val="00B42F0D"/>
    <w:rsid w:val="00B61411"/>
    <w:rsid w:val="00B71B18"/>
    <w:rsid w:val="00B80245"/>
    <w:rsid w:val="00B80A51"/>
    <w:rsid w:val="00BB5357"/>
    <w:rsid w:val="00BF5707"/>
    <w:rsid w:val="00C304DC"/>
    <w:rsid w:val="00C55733"/>
    <w:rsid w:val="00C6468A"/>
    <w:rsid w:val="00C84ED7"/>
    <w:rsid w:val="00CA3001"/>
    <w:rsid w:val="00CD17CE"/>
    <w:rsid w:val="00CD3BEB"/>
    <w:rsid w:val="00CE7032"/>
    <w:rsid w:val="00CF597F"/>
    <w:rsid w:val="00D03D21"/>
    <w:rsid w:val="00D269C1"/>
    <w:rsid w:val="00D302DD"/>
    <w:rsid w:val="00D37F14"/>
    <w:rsid w:val="00D405F9"/>
    <w:rsid w:val="00D60BE6"/>
    <w:rsid w:val="00D6480C"/>
    <w:rsid w:val="00D85E0F"/>
    <w:rsid w:val="00DA774F"/>
    <w:rsid w:val="00DC5E9D"/>
    <w:rsid w:val="00DF6FB5"/>
    <w:rsid w:val="00DF7511"/>
    <w:rsid w:val="00E149FC"/>
    <w:rsid w:val="00E161B2"/>
    <w:rsid w:val="00E22B55"/>
    <w:rsid w:val="00E278F4"/>
    <w:rsid w:val="00E413AF"/>
    <w:rsid w:val="00E42318"/>
    <w:rsid w:val="00E57EAC"/>
    <w:rsid w:val="00E9038B"/>
    <w:rsid w:val="00E90C8F"/>
    <w:rsid w:val="00E97403"/>
    <w:rsid w:val="00EA094C"/>
    <w:rsid w:val="00ED28B7"/>
    <w:rsid w:val="00EE59CF"/>
    <w:rsid w:val="00EF456E"/>
    <w:rsid w:val="00F46A88"/>
    <w:rsid w:val="00F9426E"/>
    <w:rsid w:val="00F95993"/>
    <w:rsid w:val="00FC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0E08E5"/>
  <w15:docId w15:val="{5A6D3B1F-2698-4461-AF1E-87C3AAAD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2F4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2F4C"/>
    <w:pPr>
      <w:ind w:left="720"/>
    </w:pPr>
  </w:style>
  <w:style w:type="paragraph" w:styleId="Nagwek">
    <w:name w:val="header"/>
    <w:basedOn w:val="Normalny"/>
    <w:link w:val="NagwekZnak"/>
    <w:uiPriority w:val="99"/>
    <w:rsid w:val="00912F4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locked/>
    <w:rsid w:val="00912F4C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912F4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912F4C"/>
    <w:rPr>
      <w:rFonts w:ascii="Times New Roman" w:hAnsi="Times New Roman" w:cs="Times New Roman"/>
    </w:rPr>
  </w:style>
  <w:style w:type="paragraph" w:styleId="Tekstprzypisukocowego">
    <w:name w:val="endnote text"/>
    <w:basedOn w:val="Normalny"/>
    <w:link w:val="TekstprzypisukocowegoZnak"/>
    <w:uiPriority w:val="99"/>
    <w:rsid w:val="00912F4C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912F4C"/>
    <w:rPr>
      <w:rFonts w:ascii="Times New Roman" w:hAnsi="Times New Roman" w:cs="Times New Roman"/>
      <w:sz w:val="20"/>
    </w:rPr>
  </w:style>
  <w:style w:type="character" w:styleId="Odwoanieprzypisukocowego">
    <w:name w:val="endnote reference"/>
    <w:uiPriority w:val="99"/>
    <w:rsid w:val="00912F4C"/>
    <w:rPr>
      <w:rFonts w:ascii="Times New Roman" w:hAnsi="Times New Roman"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5D4B4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D4B47"/>
    <w:rPr>
      <w:rFonts w:ascii="Tahoma" w:hAnsi="Tahoma" w:cs="Times New Roman"/>
      <w:sz w:val="16"/>
      <w:lang w:eastAsia="en-US"/>
    </w:rPr>
  </w:style>
  <w:style w:type="paragraph" w:styleId="Tekstpodstawowy2">
    <w:name w:val="Body Text 2"/>
    <w:basedOn w:val="Normalny"/>
    <w:link w:val="Tekstpodstawowy2Znak"/>
    <w:rsid w:val="00A35D54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Verdana" w:hAnsi="Verdana" w:cs="Times New Roman"/>
      <w:b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35D54"/>
    <w:rPr>
      <w:rFonts w:ascii="Verdana" w:hAnsi="Verdana"/>
      <w:b/>
      <w:szCs w:val="24"/>
    </w:rPr>
  </w:style>
  <w:style w:type="paragraph" w:customStyle="1" w:styleId="Default">
    <w:name w:val="Default"/>
    <w:rsid w:val="004E189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5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881</Words>
  <Characters>6052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PFU</vt:lpstr>
    </vt:vector>
  </TitlesOfParts>
  <Company>GDDKiA O/ZG</Company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PFU</dc:title>
  <dc:subject>Sygnalizacja Kargowa</dc:subject>
  <dc:creator>Biegalski Michał</dc:creator>
  <cp:keywords>32</cp:keywords>
  <cp:lastModifiedBy>Biegalski Michał</cp:lastModifiedBy>
  <cp:revision>10</cp:revision>
  <cp:lastPrinted>2020-06-29T12:10:00Z</cp:lastPrinted>
  <dcterms:created xsi:type="dcterms:W3CDTF">2019-06-03T08:07:00Z</dcterms:created>
  <dcterms:modified xsi:type="dcterms:W3CDTF">2020-06-29T12:11:00Z</dcterms:modified>
</cp:coreProperties>
</file>